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before="120" w:beforeLines="50" w:line="59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“智汇天府”公共招聘进校园活动暨内江市高校毕业生就业双选会</w:t>
      </w:r>
    </w:p>
    <w:p>
      <w:pPr>
        <w:spacing w:after="120" w:afterLines="50" w:line="59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参会回执表</w:t>
      </w:r>
    </w:p>
    <w:tbl>
      <w:tblPr>
        <w:tblStyle w:val="3"/>
        <w:tblW w:w="1409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626"/>
        <w:gridCol w:w="626"/>
        <w:gridCol w:w="651"/>
        <w:gridCol w:w="651"/>
        <w:gridCol w:w="626"/>
        <w:gridCol w:w="626"/>
        <w:gridCol w:w="626"/>
        <w:gridCol w:w="93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18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0"/>
                <w:szCs w:val="20"/>
                <w:lang w:bidi="ar"/>
              </w:rPr>
              <w:t>统一信用代码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color w:val="auto"/>
                <w:sz w:val="20"/>
                <w:szCs w:val="20"/>
              </w:rPr>
              <w:t>经济类型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color w:val="auto"/>
                <w:sz w:val="20"/>
                <w:szCs w:val="20"/>
              </w:rPr>
              <w:t>单位性质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0"/>
                <w:szCs w:val="20"/>
                <w:lang w:bidi="ar"/>
              </w:rPr>
              <w:t>单位地址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0"/>
                <w:szCs w:val="20"/>
                <w:lang w:bidi="ar"/>
              </w:rPr>
              <w:t>行业类型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0"/>
                <w:szCs w:val="20"/>
                <w:lang w:bidi="ar"/>
              </w:rPr>
              <w:t>单位简介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0"/>
                <w:szCs w:val="20"/>
                <w:lang w:bidi="ar"/>
              </w:rPr>
              <w:t>联系人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0"/>
                <w:szCs w:val="20"/>
                <w:lang w:bidi="ar"/>
              </w:rPr>
              <w:t>联系人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0"/>
                <w:szCs w:val="20"/>
                <w:lang w:bidi="ar"/>
              </w:rPr>
              <w:t>手机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0"/>
                <w:szCs w:val="20"/>
                <w:lang w:bidi="ar"/>
              </w:rPr>
              <w:t>电子邮箱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0"/>
                <w:szCs w:val="20"/>
                <w:lang w:bidi="ar"/>
              </w:rPr>
              <w:t>职位名称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0"/>
                <w:szCs w:val="20"/>
                <w:lang w:bidi="ar"/>
              </w:rPr>
              <w:t>薪资待遇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0"/>
                <w:szCs w:val="20"/>
                <w:lang w:bidi="ar"/>
              </w:rPr>
              <w:t>职位描述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0"/>
                <w:szCs w:val="20"/>
                <w:lang w:bidi="ar"/>
              </w:rPr>
              <w:t>职位要求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0"/>
                <w:szCs w:val="20"/>
                <w:lang w:bidi="ar"/>
              </w:rPr>
              <w:t>技能等级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0"/>
                <w:szCs w:val="20"/>
                <w:lang w:bidi="ar"/>
              </w:rPr>
              <w:t>职位类型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0"/>
                <w:szCs w:val="20"/>
                <w:lang w:bidi="ar"/>
              </w:rPr>
              <w:t>是否进行网络发布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0"/>
                <w:szCs w:val="20"/>
                <w:lang w:bidi="ar"/>
              </w:rPr>
              <w:t>参加场次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0"/>
                <w:szCs w:val="20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color w:val="auto"/>
                <w:sz w:val="20"/>
                <w:szCs w:val="20"/>
              </w:rPr>
              <w:t>内江师范专场</w:t>
            </w:r>
          </w:p>
          <w:p>
            <w:pPr>
              <w:pStyle w:val="2"/>
              <w:spacing w:before="0" w:after="0" w:line="240" w:lineRule="exact"/>
              <w:rPr>
                <w:rFonts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</w:rPr>
              <w:t>内江职院专场</w:t>
            </w:r>
          </w:p>
          <w:p>
            <w:pPr>
              <w:spacing w:line="240" w:lineRule="exact"/>
              <w:rPr>
                <w:rFonts w:ascii="Times New Roman" w:hAnsi="Times New Roman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0"/>
                <w:szCs w:val="20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color w:val="auto"/>
                <w:sz w:val="20"/>
                <w:szCs w:val="20"/>
              </w:rPr>
              <w:t>川南幼专专场</w:t>
            </w:r>
          </w:p>
          <w:p>
            <w:pPr>
              <w:pStyle w:val="2"/>
              <w:spacing w:before="0" w:after="0" w:line="240" w:lineRule="exac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</w:rPr>
              <w:t>内江卫健院专场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5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5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楷体_GB2312" w:cs="楷体_GB2312"/>
                <w:color w:val="auto"/>
                <w:szCs w:val="21"/>
              </w:rPr>
            </w:pPr>
          </w:p>
        </w:tc>
      </w:tr>
    </w:tbl>
    <w:p>
      <w:pPr>
        <w:widowControl/>
        <w:spacing w:line="220" w:lineRule="exact"/>
        <w:jc w:val="left"/>
        <w:textAlignment w:val="center"/>
        <w:rPr>
          <w:rFonts w:ascii="Times New Roman" w:hAnsi="Times New Roman" w:eastAsia="仿宋_GB2312" w:cs="仿宋_GB2312"/>
          <w:b/>
          <w:bCs/>
          <w:color w:val="auto"/>
          <w:kern w:val="0"/>
          <w:sz w:val="18"/>
          <w:szCs w:val="18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18"/>
          <w:szCs w:val="18"/>
          <w:lang w:bidi="ar"/>
        </w:rPr>
        <w:t>备注：</w:t>
      </w:r>
    </w:p>
    <w:p>
      <w:pPr>
        <w:widowControl/>
        <w:spacing w:line="220" w:lineRule="exact"/>
        <w:ind w:firstLine="361" w:firstLineChars="200"/>
        <w:jc w:val="left"/>
        <w:textAlignment w:val="center"/>
        <w:rPr>
          <w:rFonts w:ascii="Times New Roman" w:hAnsi="Times New Roman" w:eastAsia="仿宋_GB2312" w:cs="仿宋_GB2312"/>
          <w:color w:val="auto"/>
          <w:kern w:val="0"/>
          <w:sz w:val="18"/>
          <w:szCs w:val="18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18"/>
          <w:szCs w:val="18"/>
          <w:lang w:bidi="ar"/>
        </w:rPr>
        <w:t>1.经济类型：</w:t>
      </w:r>
      <w:r>
        <w:rPr>
          <w:rFonts w:hint="eastAsia" w:ascii="Times New Roman" w:hAnsi="Times New Roman" w:eastAsia="仿宋_GB2312" w:cs="仿宋_GB2312"/>
          <w:color w:val="auto"/>
          <w:kern w:val="0"/>
          <w:sz w:val="18"/>
          <w:szCs w:val="18"/>
          <w:lang w:bidi="ar"/>
        </w:rPr>
        <w:t>集体企业，股份合作企业，联营企业，有限责任公司，股份有限公司，私营企业，其他内资企业，国有企业，中外合资，中外合作，外资，国外投资股份有限（公司），其他国外投资，内地和港、澳、台合资，内地和港、澳、台合作，港、澳、台独资，港、澳、台投资股份有限（公司），其他港、澳、台投资，个体经营，事业，机关，其他。</w:t>
      </w:r>
    </w:p>
    <w:p>
      <w:pPr>
        <w:widowControl/>
        <w:spacing w:line="220" w:lineRule="exact"/>
        <w:ind w:firstLine="361" w:firstLineChars="200"/>
        <w:jc w:val="left"/>
        <w:textAlignment w:val="center"/>
        <w:rPr>
          <w:sz w:val="18"/>
          <w:szCs w:val="20"/>
        </w:rPr>
      </w:pPr>
      <w:r>
        <w:rPr>
          <w:rFonts w:ascii="Times New Roman" w:hAnsi="Times New Roman" w:eastAsia="仿宋_GB2312" w:cs="仿宋_GB2312"/>
          <w:b/>
          <w:bCs/>
          <w:color w:val="auto"/>
          <w:kern w:val="0"/>
          <w:sz w:val="18"/>
          <w:szCs w:val="18"/>
          <w:lang w:bidi="ar"/>
        </w:rPr>
        <w:t>2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18"/>
          <w:szCs w:val="18"/>
          <w:lang w:bidi="ar"/>
        </w:rPr>
        <w:t>.单位性质：</w:t>
      </w:r>
      <w:r>
        <w:rPr>
          <w:rFonts w:hint="eastAsia" w:ascii="Times New Roman" w:hAnsi="Times New Roman" w:eastAsia="仿宋_GB2312" w:cs="仿宋_GB2312"/>
          <w:color w:val="auto"/>
          <w:kern w:val="0"/>
          <w:sz w:val="18"/>
          <w:szCs w:val="18"/>
          <w:lang w:bidi="ar"/>
        </w:rPr>
        <w:t>央企/国有企业，民营企业，中外合资，外商独资，股份制企业，上市公司，国家机关/事业单位，高校/科研院所，银行金融机构，其它。</w:t>
      </w:r>
      <w:r>
        <w:rPr>
          <w:rFonts w:hint="eastAsia" w:ascii="Times New Roman" w:hAnsi="Times New Roman" w:eastAsia="仿宋_GB2312" w:cs="仿宋_GB2312"/>
          <w:color w:val="auto"/>
          <w:kern w:val="0"/>
          <w:sz w:val="18"/>
          <w:szCs w:val="18"/>
          <w:lang w:bidi="ar"/>
        </w:rPr>
        <w:br w:type="textWrapping"/>
      </w:r>
      <w:r>
        <w:rPr>
          <w:rFonts w:hint="eastAsia" w:ascii="Times New Roman" w:hAnsi="Times New Roman" w:eastAsia="仿宋_GB2312" w:cs="仿宋_GB2312"/>
          <w:color w:val="auto"/>
          <w:kern w:val="0"/>
          <w:sz w:val="18"/>
          <w:szCs w:val="18"/>
          <w:lang w:bidi="ar"/>
        </w:rPr>
        <w:t xml:space="preserve">    </w:t>
      </w:r>
      <w:r>
        <w:rPr>
          <w:rFonts w:ascii="Times New Roman" w:hAnsi="Times New Roman" w:eastAsia="仿宋_GB2312" w:cs="仿宋_GB2312"/>
          <w:b/>
          <w:bCs/>
          <w:color w:val="auto"/>
          <w:kern w:val="0"/>
          <w:sz w:val="18"/>
          <w:szCs w:val="18"/>
          <w:lang w:bidi="ar"/>
        </w:rPr>
        <w:t>3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18"/>
          <w:szCs w:val="18"/>
          <w:lang w:bidi="ar"/>
        </w:rPr>
        <w:t>.行业类型：</w:t>
      </w:r>
      <w:r>
        <w:rPr>
          <w:rFonts w:hint="eastAsia" w:ascii="Times New Roman" w:hAnsi="Times New Roman" w:eastAsia="仿宋_GB2312" w:cs="仿宋_GB2312"/>
          <w:color w:val="auto"/>
          <w:kern w:val="0"/>
          <w:sz w:val="18"/>
          <w:szCs w:val="18"/>
          <w:lang w:bidi="ar"/>
        </w:rPr>
        <w:t>农、林、牧、渔业，农、林、牧、渔</w:t>
      </w:r>
      <w:r>
        <w:rPr>
          <w:rFonts w:hint="eastAsia" w:ascii="Times New Roman" w:hAnsi="Times New Roman" w:eastAsia="仿宋_GB2312" w:cs="仿宋_GB2312"/>
          <w:color w:val="000000"/>
          <w:kern w:val="0"/>
          <w:sz w:val="18"/>
          <w:szCs w:val="18"/>
          <w:lang w:bidi="ar"/>
        </w:rPr>
        <w:t>专业及辅助性活动，采矿业，开采专业及辅助性活动，制造业，金属制品、机械和设备修理业，电力、燃气及水的生产和供应业，建筑业，批发和零售业，交通运输、仓储和邮政业，住宿和餐饮业，信息传输、计算机服务和软件业，金融业，房地产业，租赁和商务服务业，科学研究和技术服务业，水利、环境和公共设施管理业，居民服务、修理和其他服务业，教育，卫生、社会保障和社会福利业，文化、体育和娱乐业，公共管理、社会保障和社会组织，国际组织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18"/>
          <w:szCs w:val="18"/>
          <w:lang w:bidi="ar"/>
        </w:rPr>
        <w:br w:type="textWrapping"/>
      </w:r>
      <w:r>
        <w:rPr>
          <w:rFonts w:hint="eastAsia" w:ascii="Times New Roman" w:hAnsi="Times New Roman" w:eastAsia="仿宋_GB2312" w:cs="仿宋_GB2312"/>
          <w:color w:val="000000"/>
          <w:kern w:val="0"/>
          <w:sz w:val="18"/>
          <w:szCs w:val="18"/>
          <w:lang w:bidi="ar"/>
        </w:rPr>
        <w:t xml:space="preserve">   </w:t>
      </w: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仿宋_GB2312" w:cs="仿宋_GB2312"/>
          <w:b/>
          <w:bCs/>
          <w:color w:val="000000"/>
          <w:kern w:val="0"/>
          <w:sz w:val="18"/>
          <w:szCs w:val="18"/>
          <w:lang w:bidi="ar"/>
        </w:rPr>
        <w:t>4</w:t>
      </w: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18"/>
          <w:szCs w:val="18"/>
          <w:lang w:bidi="ar"/>
        </w:rPr>
        <w:t>.学历：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18"/>
          <w:szCs w:val="18"/>
          <w:lang w:bidi="ar"/>
        </w:rPr>
        <w:t>初中及以下，高中，职高，中技，中专，大专，本科，硕士，博士，博后。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18"/>
          <w:szCs w:val="18"/>
          <w:lang w:bidi="ar"/>
        </w:rPr>
        <w:br w:type="textWrapping"/>
      </w:r>
      <w:r>
        <w:rPr>
          <w:rFonts w:hint="eastAsia" w:ascii="Times New Roman" w:hAnsi="Times New Roman" w:eastAsia="仿宋_GB2312" w:cs="仿宋_GB2312"/>
          <w:color w:val="000000"/>
          <w:kern w:val="0"/>
          <w:sz w:val="18"/>
          <w:szCs w:val="18"/>
          <w:lang w:bidi="ar"/>
        </w:rPr>
        <w:t xml:space="preserve">   </w:t>
      </w: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仿宋_GB2312" w:cs="仿宋_GB2312"/>
          <w:b/>
          <w:bCs/>
          <w:color w:val="000000"/>
          <w:kern w:val="0"/>
          <w:sz w:val="18"/>
          <w:szCs w:val="18"/>
          <w:lang w:bidi="ar"/>
        </w:rPr>
        <w:t>5</w:t>
      </w: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18"/>
          <w:szCs w:val="18"/>
          <w:lang w:bidi="ar"/>
        </w:rPr>
        <w:t>.技能等级：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18"/>
          <w:szCs w:val="18"/>
          <w:lang w:bidi="ar"/>
        </w:rPr>
        <w:t>职业资格五级(初级技能)，职业资格四级(中级技能)，职业资格三级(高级技能)，职业资格二级(技师) ，职业资格一级(高级技师)，初级职务，中级职务，高级职务，无技术等级或职称，无要求。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18"/>
          <w:szCs w:val="18"/>
          <w:lang w:bidi="ar"/>
        </w:rPr>
        <w:br w:type="textWrapping"/>
      </w:r>
      <w:r>
        <w:rPr>
          <w:rFonts w:hint="eastAsia" w:ascii="Times New Roman" w:hAnsi="Times New Roman" w:eastAsia="仿宋_GB2312" w:cs="仿宋_GB2312"/>
          <w:color w:val="000000"/>
          <w:kern w:val="0"/>
          <w:sz w:val="18"/>
          <w:szCs w:val="18"/>
          <w:lang w:bidi="ar"/>
        </w:rPr>
        <w:t xml:space="preserve">   </w:t>
      </w: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仿宋_GB2312" w:cs="仿宋_GB2312"/>
          <w:b/>
          <w:bCs/>
          <w:color w:val="000000"/>
          <w:kern w:val="0"/>
          <w:sz w:val="18"/>
          <w:szCs w:val="18"/>
          <w:lang w:bidi="ar"/>
        </w:rPr>
        <w:t>6</w:t>
      </w: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18"/>
          <w:szCs w:val="18"/>
          <w:lang w:bidi="ar"/>
        </w:rPr>
        <w:t>.职位类型：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18"/>
          <w:szCs w:val="18"/>
          <w:lang w:bidi="ar"/>
        </w:rPr>
        <w:t>单位负责人，专业技术人员，办事人员和有关人员，社会生产服务和生活服务人员，农林牧渔业生产及辅助人员，生产制造及有关人员，其他。</w:t>
      </w:r>
      <w:bookmarkStart w:id="0" w:name="_GoBack"/>
      <w:bookmarkEnd w:id="0"/>
    </w:p>
    <w:sectPr>
      <w:pgSz w:w="16838" w:h="11906" w:orient="landscape"/>
      <w:pgMar w:top="2098" w:right="1361" w:bottom="198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B68C9"/>
    <w:rsid w:val="0D8B68C9"/>
    <w:rsid w:val="193E25C0"/>
    <w:rsid w:val="1D7355DE"/>
    <w:rsid w:val="2BF84E3B"/>
    <w:rsid w:val="39347D08"/>
    <w:rsid w:val="46AD02E0"/>
    <w:rsid w:val="7256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2023-10-13T09:25:00Z</dcterms:created>
  <dc:creator>Administrator</dc:creator>
  <cp:lastModifiedBy>Administrator</cp:lastModifiedBy>
  <cp:lastPrinted>2023-10-15T00:49:00Z</cp:lastPrinted>
  <dcterms:modified xsi:type="dcterms:W3CDTF">2023-10-16T07:04:01Z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